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ED" w:rsidRPr="00AE36ED" w:rsidRDefault="00AE36ED" w:rsidP="00AE36ED">
      <w:pPr>
        <w:spacing w:after="150"/>
        <w:jc w:val="center"/>
        <w:rPr>
          <w:rFonts w:asciiTheme="minorHAnsi" w:hAnsiTheme="minorHAnsi" w:cs="Calibri"/>
          <w:b/>
        </w:rPr>
      </w:pPr>
    </w:p>
    <w:p w:rsidR="00AE36ED" w:rsidRPr="00AE36ED" w:rsidRDefault="00AE36ED" w:rsidP="00AE36ED">
      <w:pPr>
        <w:spacing w:after="150"/>
        <w:jc w:val="center"/>
        <w:rPr>
          <w:rFonts w:asciiTheme="minorHAnsi" w:hAnsiTheme="minorHAnsi" w:cs="Calibri"/>
          <w:b/>
          <w:sz w:val="28"/>
          <w:szCs w:val="28"/>
        </w:rPr>
      </w:pPr>
      <w:r w:rsidRPr="00AE36ED">
        <w:rPr>
          <w:rFonts w:asciiTheme="minorHAnsi" w:hAnsiTheme="minorHAnsi" w:cs="Calibri"/>
          <w:b/>
          <w:sz w:val="28"/>
          <w:szCs w:val="28"/>
        </w:rPr>
        <w:t>OPIS FIRM WŁOSKICH</w:t>
      </w:r>
    </w:p>
    <w:p w:rsidR="00AE36ED" w:rsidRDefault="00AE36ED" w:rsidP="00AE36ED">
      <w:pPr>
        <w:spacing w:after="150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AE36ED" w:rsidRPr="00AE36ED" w:rsidRDefault="00AE36ED" w:rsidP="00AE36ED">
      <w:pPr>
        <w:spacing w:after="1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E36ED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CIMU-SISTEMI PER PRODURRE</w:t>
      </w:r>
      <w:r w:rsidRPr="00AE36ED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jest stowarzyszeniem producentów narzędzi, systemów automatycznych. Oficjalny przedstawiciel tego sektora UCIMU SISTEMI PER PRODURRE ma obecnie ponad dwa tysiące firm członkowskich, które tworzą ponad 70 </w:t>
      </w:r>
      <w:proofErr w:type="spellStart"/>
      <w:r w:rsidRPr="00AE36ED">
        <w:rPr>
          <w:rFonts w:asciiTheme="minorHAnsi" w:eastAsia="Times New Roman" w:hAnsiTheme="minorHAnsi" w:cstheme="minorHAnsi"/>
          <w:color w:val="000000" w:themeColor="text1"/>
          <w:lang w:eastAsia="pl-PL"/>
        </w:rPr>
        <w:t>porcent</w:t>
      </w:r>
      <w:proofErr w:type="spellEnd"/>
      <w:r w:rsidRPr="00AE36ED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firm tego sektora we Włoszech. Wartość oraz długotrwała tradycja firm członkowskich czynią to </w:t>
      </w:r>
      <w:proofErr w:type="spellStart"/>
      <w:r w:rsidRPr="00AE36ED">
        <w:rPr>
          <w:rFonts w:asciiTheme="minorHAnsi" w:eastAsia="Times New Roman" w:hAnsiTheme="minorHAnsi" w:cstheme="minorHAnsi"/>
          <w:color w:val="000000" w:themeColor="text1"/>
          <w:lang w:eastAsia="pl-PL"/>
        </w:rPr>
        <w:t>stowrzyszenie</w:t>
      </w:r>
      <w:proofErr w:type="spellEnd"/>
      <w:r w:rsidRPr="00AE36ED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jednym z najbardziej wpływowych przedstawicieli SISTEMA CONFINDUSTRIA. </w:t>
      </w:r>
    </w:p>
    <w:p w:rsidR="00AE36ED" w:rsidRPr="00AE36ED" w:rsidRDefault="00AE36ED" w:rsidP="00AE36ED">
      <w:pPr>
        <w:spacing w:after="15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AE36ED">
        <w:rPr>
          <w:rFonts w:asciiTheme="minorHAnsi" w:eastAsia="Times New Roman" w:hAnsiTheme="minorHAnsi" w:cstheme="minorHAnsi"/>
          <w:color w:val="000000" w:themeColor="text1"/>
          <w:lang w:eastAsia="pl-PL"/>
        </w:rPr>
        <w:t>Zadania stowarzyszenia:</w:t>
      </w:r>
    </w:p>
    <w:p w:rsidR="00AE36ED" w:rsidRPr="00AE36ED" w:rsidRDefault="00AE36ED" w:rsidP="00AE36ED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36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Reprezentacja interesów firm należących do stowarzyszenia;</w:t>
      </w:r>
    </w:p>
    <w:p w:rsidR="00AE36ED" w:rsidRPr="00AE36ED" w:rsidRDefault="00AE36ED" w:rsidP="00AE36ED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36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Ochrona interesów sektora;</w:t>
      </w:r>
    </w:p>
    <w:p w:rsidR="00AE36ED" w:rsidRPr="00AE36ED" w:rsidRDefault="00AE36ED" w:rsidP="00AE36ED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36E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Wspieranie działań firm należących do stowarzyszenia oraz ich wzrostu i rozwoju, zapewnianie wsparcia w wielu dziedzinach: badań, rozwoju, sprzedaży, marketingu, od promocji i komunikacji do szkoleń.</w:t>
      </w: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  <w:r w:rsidRPr="00AE36ED">
        <w:rPr>
          <w:rFonts w:asciiTheme="minorHAnsi" w:hAnsiTheme="minorHAnsi" w:cstheme="minorHAnsi"/>
          <w:color w:val="000000" w:themeColor="text1"/>
        </w:rPr>
        <w:t>Błękitna Filozofia, czyli ścieżka prowadząca do innowacji</w:t>
      </w: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  <w:r w:rsidRPr="00AE36ED">
        <w:rPr>
          <w:rFonts w:asciiTheme="minorHAnsi" w:hAnsiTheme="minorHAnsi" w:cstheme="minorHAnsi"/>
          <w:color w:val="000000" w:themeColor="text1"/>
        </w:rPr>
        <w:t>Kluczowe są:</w:t>
      </w:r>
    </w:p>
    <w:p w:rsidR="00AE36ED" w:rsidRPr="00AE36ED" w:rsidRDefault="00AE36ED" w:rsidP="00AE36ED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E36ED">
        <w:rPr>
          <w:rFonts w:cstheme="minorHAnsi"/>
          <w:color w:val="000000" w:themeColor="text1"/>
          <w:sz w:val="24"/>
          <w:szCs w:val="24"/>
        </w:rPr>
        <w:t>Odpowiednie podejście do środowiska naturalnego;</w:t>
      </w:r>
    </w:p>
    <w:p w:rsidR="00AE36ED" w:rsidRPr="00AE36ED" w:rsidRDefault="00AE36ED" w:rsidP="00AE36ED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E36ED">
        <w:rPr>
          <w:rFonts w:cstheme="minorHAnsi"/>
          <w:color w:val="000000" w:themeColor="text1"/>
          <w:sz w:val="24"/>
          <w:szCs w:val="24"/>
        </w:rPr>
        <w:t>Ekonomiczny rozwój;</w:t>
      </w:r>
    </w:p>
    <w:p w:rsidR="00AE36ED" w:rsidRPr="00AE36ED" w:rsidRDefault="00AE36ED" w:rsidP="00AE36ED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E36ED">
        <w:rPr>
          <w:rFonts w:cstheme="minorHAnsi"/>
          <w:color w:val="000000" w:themeColor="text1"/>
          <w:sz w:val="24"/>
          <w:szCs w:val="24"/>
        </w:rPr>
        <w:t>Odpowiedzialność społeczna</w:t>
      </w: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  <w:hyperlink r:id="rId6" w:history="1">
        <w:r w:rsidRPr="00AE36ED">
          <w:rPr>
            <w:rStyle w:val="Hipercze"/>
            <w:rFonts w:asciiTheme="minorHAnsi" w:hAnsiTheme="minorHAnsi" w:cstheme="minorHAnsi"/>
          </w:rPr>
          <w:t>http://www.ucimu.it/en/association/</w:t>
        </w:r>
      </w:hyperlink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AE36ED">
        <w:rPr>
          <w:rFonts w:asciiTheme="minorHAnsi" w:hAnsiTheme="minorHAnsi" w:cstheme="minorHAnsi"/>
          <w:b/>
          <w:bCs/>
          <w:color w:val="000000"/>
        </w:rPr>
        <w:t>AIdAM</w:t>
      </w:r>
      <w:proofErr w:type="spellEnd"/>
      <w:r w:rsidRPr="00AE36ED">
        <w:rPr>
          <w:rFonts w:asciiTheme="minorHAnsi" w:hAnsiTheme="minorHAnsi" w:cstheme="minorHAnsi"/>
          <w:color w:val="000000"/>
        </w:rPr>
        <w:t xml:space="preserve">, włoskie stowarzyszenie mechatroniki zostało utworzone w 1999 roku w celu reprezentowania nowoczesnej mechatroniki oraz </w:t>
      </w:r>
      <w:r w:rsidRPr="00AE36ED">
        <w:rPr>
          <w:rFonts w:asciiTheme="minorHAnsi" w:hAnsiTheme="minorHAnsi" w:cstheme="minorHAnsi"/>
        </w:rPr>
        <w:t xml:space="preserve">firm dostarczających systemy montażowe i przeładunkowe: producentów systemów, dostawców systemów i podsystemów „pod klucz”. Mechatronika jest dziedziną </w:t>
      </w:r>
      <w:proofErr w:type="spellStart"/>
      <w:r w:rsidRPr="00AE36ED">
        <w:rPr>
          <w:rFonts w:asciiTheme="minorHAnsi" w:hAnsiTheme="minorHAnsi" w:cstheme="minorHAnsi"/>
        </w:rPr>
        <w:t>multidyscyplinarną</w:t>
      </w:r>
      <w:proofErr w:type="spellEnd"/>
      <w:r w:rsidRPr="00AE36ED">
        <w:rPr>
          <w:rFonts w:asciiTheme="minorHAnsi" w:hAnsiTheme="minorHAnsi" w:cstheme="minorHAnsi"/>
        </w:rPr>
        <w:t xml:space="preserve">, która bada połączenie: inżynierii mechanicznej, inżynierii elektronicznej, inżynierii komputerowej. </w:t>
      </w:r>
      <w:proofErr w:type="spellStart"/>
      <w:r w:rsidRPr="00AE36ED">
        <w:rPr>
          <w:rFonts w:asciiTheme="minorHAnsi" w:hAnsiTheme="minorHAnsi" w:cstheme="minorHAnsi"/>
        </w:rPr>
        <w:t>AIdAM</w:t>
      </w:r>
      <w:proofErr w:type="spellEnd"/>
      <w:r w:rsidRPr="00AE36ED">
        <w:rPr>
          <w:rFonts w:asciiTheme="minorHAnsi" w:hAnsiTheme="minorHAnsi" w:cstheme="minorHAnsi"/>
        </w:rPr>
        <w:t xml:space="preserve"> to kategoria grup współpracujących w dziale automatyki </w:t>
      </w:r>
      <w:proofErr w:type="spellStart"/>
      <w:r w:rsidRPr="00AE36ED">
        <w:rPr>
          <w:rFonts w:asciiTheme="minorHAnsi" w:hAnsiTheme="minorHAnsi" w:cstheme="minorHAnsi"/>
        </w:rPr>
        <w:t>mechatronicznej</w:t>
      </w:r>
      <w:proofErr w:type="spellEnd"/>
      <w:r w:rsidRPr="00AE36ED">
        <w:rPr>
          <w:rFonts w:asciiTheme="minorHAnsi" w:hAnsiTheme="minorHAnsi" w:cstheme="minorHAnsi"/>
        </w:rPr>
        <w:t>, ze szczególnym uwzględnieniem maszyn specjalistycznych, robotyki, systemów wizyjnych i inteligentnych komponentów, działających w głównych segmentach włoskiego przemysłu wytwórczego.</w:t>
      </w:r>
      <w:r w:rsidRPr="00AE36ED">
        <w:rPr>
          <w:rFonts w:asciiTheme="minorHAnsi" w:hAnsiTheme="minorHAnsi" w:cstheme="minorHAnsi"/>
        </w:rPr>
        <w:br/>
        <w:t>Obecnie ponad 65 firm jest w stanie zapewnić nowoczesne rozwiązania produkcyjne, wspierając rozwój oddziału we Włoszech i za granicą.</w:t>
      </w:r>
    </w:p>
    <w:p w:rsidR="00AE36ED" w:rsidRPr="00AE36ED" w:rsidRDefault="00AE36ED" w:rsidP="00AE36ED">
      <w:pPr>
        <w:jc w:val="both"/>
        <w:rPr>
          <w:rFonts w:asciiTheme="minorHAnsi" w:hAnsiTheme="minorHAnsi" w:cstheme="minorHAnsi"/>
        </w:rPr>
      </w:pPr>
      <w:r w:rsidRPr="00AE36ED">
        <w:rPr>
          <w:rFonts w:asciiTheme="minorHAnsi" w:hAnsiTheme="minorHAnsi" w:cstheme="minorHAnsi"/>
          <w:color w:val="000000"/>
        </w:rPr>
        <w:t xml:space="preserve"> </w:t>
      </w:r>
    </w:p>
    <w:p w:rsidR="00AE36ED" w:rsidRPr="00AE36ED" w:rsidRDefault="00AE36ED" w:rsidP="00AE36ED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E36ED">
        <w:rPr>
          <w:rFonts w:asciiTheme="minorHAnsi" w:hAnsiTheme="minorHAnsi" w:cstheme="minorHAnsi"/>
          <w:b/>
        </w:rPr>
        <w:t>ACIMALL</w:t>
      </w:r>
      <w:r w:rsidRPr="00AE36ED">
        <w:rPr>
          <w:rFonts w:asciiTheme="minorHAnsi" w:hAnsiTheme="minorHAnsi" w:cstheme="minorHAnsi"/>
        </w:rPr>
        <w:t xml:space="preserve"> - Włoskie Stowarzyszenie Maszyn i Narzędzi do Obróbki Drewna - powstało w Mediolanie w 1966 roku.</w:t>
      </w:r>
      <w:r>
        <w:rPr>
          <w:rFonts w:asciiTheme="minorHAnsi" w:hAnsiTheme="minorHAnsi" w:cstheme="minorHAnsi"/>
        </w:rPr>
        <w:t xml:space="preserve"> </w:t>
      </w:r>
      <w:r w:rsidRPr="00AE36ED">
        <w:rPr>
          <w:rFonts w:asciiTheme="minorHAnsi" w:hAnsiTheme="minorHAnsi" w:cstheme="minorHAnsi"/>
        </w:rPr>
        <w:t>ACIMALL reprezentuje 174 firmy, które łącznie zatrudniają 9 000 osób i generują przychody na poziomie 1,8 miliarda euro, z 70-procentowym udziałem w eksporcie.</w:t>
      </w:r>
    </w:p>
    <w:p w:rsidR="00AE36ED" w:rsidRPr="00AE36ED" w:rsidRDefault="00AE36ED" w:rsidP="00AE36ED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E36ED">
        <w:rPr>
          <w:rFonts w:asciiTheme="minorHAnsi" w:hAnsiTheme="minorHAnsi" w:cstheme="minorHAnsi"/>
        </w:rPr>
        <w:t xml:space="preserve">Reprezentując zdecydowaną większość firm przemysłowych, </w:t>
      </w:r>
      <w:proofErr w:type="spellStart"/>
      <w:r w:rsidRPr="00AE36ED">
        <w:rPr>
          <w:rFonts w:asciiTheme="minorHAnsi" w:hAnsiTheme="minorHAnsi" w:cstheme="minorHAnsi"/>
        </w:rPr>
        <w:t>Acimall</w:t>
      </w:r>
      <w:proofErr w:type="spellEnd"/>
      <w:r w:rsidRPr="00AE36ED">
        <w:rPr>
          <w:rFonts w:asciiTheme="minorHAnsi" w:hAnsiTheme="minorHAnsi" w:cstheme="minorHAnsi"/>
        </w:rPr>
        <w:t xml:space="preserve"> jest obecny na włoskim oraz międzynarodowych rynkach.</w:t>
      </w:r>
    </w:p>
    <w:p w:rsidR="00AE36ED" w:rsidRPr="00AE36ED" w:rsidRDefault="00AE36ED" w:rsidP="00AE36ED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36ED" w:rsidRPr="00AE36ED" w:rsidRDefault="00AE36ED" w:rsidP="00AE36ED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E36ED" w:rsidRPr="00AE36ED" w:rsidRDefault="00AE36ED" w:rsidP="00AE36ED">
      <w:pPr>
        <w:jc w:val="both"/>
        <w:rPr>
          <w:rFonts w:asciiTheme="minorHAnsi" w:eastAsia="Times New Roman" w:hAnsiTheme="minorHAnsi"/>
          <w:color w:val="000000" w:themeColor="text1"/>
        </w:rPr>
      </w:pPr>
      <w:r w:rsidRPr="00AE36ED">
        <w:rPr>
          <w:rFonts w:asciiTheme="minorHAnsi" w:eastAsia="Times New Roman" w:hAnsiTheme="minorHAnsi"/>
          <w:b/>
          <w:bCs/>
          <w:color w:val="000000" w:themeColor="text1"/>
        </w:rPr>
        <w:t>ECOENERGIA</w:t>
      </w:r>
      <w:r w:rsidRPr="00AE36ED">
        <w:rPr>
          <w:rFonts w:asciiTheme="minorHAnsi" w:eastAsia="Times New Roman" w:hAnsiTheme="minorHAnsi"/>
          <w:b/>
          <w:bCs/>
          <w:color w:val="000000" w:themeColor="text1"/>
        </w:rPr>
        <w:t xml:space="preserve"> SRL ( GRUPPO GORENT ), Florencja</w:t>
      </w:r>
    </w:p>
    <w:p w:rsidR="00AE36ED" w:rsidRPr="00AE36ED" w:rsidRDefault="00AE36ED" w:rsidP="00AE36ED">
      <w:pPr>
        <w:rPr>
          <w:rFonts w:asciiTheme="minorHAnsi" w:hAnsiTheme="minorHAnsi"/>
          <w:color w:val="000000" w:themeColor="text1"/>
        </w:rPr>
      </w:pPr>
      <w:hyperlink r:id="rId7" w:history="1">
        <w:proofErr w:type="spellStart"/>
        <w:r w:rsidRPr="00AE36ED">
          <w:rPr>
            <w:rStyle w:val="Pogrubienie"/>
            <w:rFonts w:asciiTheme="minorHAnsi" w:hAnsiTheme="minorHAnsi" w:cs="Arial"/>
            <w:color w:val="000000" w:themeColor="text1"/>
            <w:shd w:val="clear" w:color="auto" w:fill="FFFFFF"/>
          </w:rPr>
          <w:t>Gorent</w:t>
        </w:r>
        <w:proofErr w:type="spellEnd"/>
        <w:r w:rsidRPr="00AE36ED">
          <w:rPr>
            <w:rStyle w:val="Pogrubienie"/>
            <w:rFonts w:asciiTheme="minorHAnsi" w:hAnsiTheme="minorHAnsi" w:cs="Arial"/>
            <w:color w:val="000000" w:themeColor="text1"/>
            <w:shd w:val="clear" w:color="auto" w:fill="FFFFFF"/>
          </w:rPr>
          <w:t xml:space="preserve"> i</w:t>
        </w:r>
      </w:hyperlink>
      <w:r w:rsidRPr="00AE36ED"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  <w:t> </w:t>
      </w:r>
      <w:proofErr w:type="spellStart"/>
      <w:r w:rsidRPr="00AE36ED">
        <w:rPr>
          <w:rStyle w:val="Pogrubienie"/>
          <w:rFonts w:asciiTheme="minorHAnsi" w:hAnsiTheme="minorHAnsi" w:cs="Arial"/>
          <w:color w:val="000000" w:themeColor="text1"/>
          <w:shd w:val="clear" w:color="auto" w:fill="FFFFFF"/>
        </w:rPr>
        <w:t>Eco.Energia</w:t>
      </w:r>
      <w:proofErr w:type="spellEnd"/>
      <w:r w:rsidRPr="00AE36ED">
        <w:rPr>
          <w:rFonts w:asciiTheme="minorHAnsi" w:hAnsiTheme="minorHAnsi" w:cs="Arial"/>
          <w:color w:val="000000" w:themeColor="text1"/>
          <w:shd w:val="clear" w:color="auto" w:fill="FFFFFF"/>
        </w:rPr>
        <w:t> , florenckie firmy działające od ponad 15 lat odpowiednio w wynajmie miejskich pojazdów higienicznych oraz w zbieraniu i ponownym wykorzystaniu odpadów, otworzyły 2018 r. Ważną innowacją, która świadczy o żywotności firmy i ciągłej woli rozwijać się i inwestować. </w:t>
      </w:r>
      <w:r w:rsidRPr="00AE36ED">
        <w:rPr>
          <w:rFonts w:asciiTheme="minorHAnsi" w:hAnsiTheme="minorHAnsi" w:cs="Arial"/>
          <w:color w:val="000000" w:themeColor="text1"/>
        </w:rPr>
        <w:br/>
      </w:r>
      <w:r w:rsidRPr="00AE36ED">
        <w:rPr>
          <w:rFonts w:asciiTheme="minorHAnsi" w:hAnsiTheme="minorHAnsi" w:cs="Arial"/>
          <w:color w:val="000000" w:themeColor="text1"/>
        </w:rPr>
        <w:br/>
      </w:r>
      <w:r w:rsidRPr="00AE36ED">
        <w:rPr>
          <w:rFonts w:asciiTheme="minorHAnsi" w:hAnsiTheme="minorHAnsi" w:cs="Arial"/>
          <w:color w:val="000000" w:themeColor="text1"/>
          <w:shd w:val="clear" w:color="auto" w:fill="FFFFFF"/>
        </w:rPr>
        <w:t>Obecnie obie firmy zainaugurują swoją nową siedzibę we Florencji (przy Via Fanfani), która rozciąga się na powierzchni 1000 metrów kwadratowych biur operacyjnych i przedstawicielskich, rozmieszczonych na dwóch piętrach, obejmujących: 22 biura, 3 sale konferencyjne, 2 pomieszczenia archiwalne, 2 oddzielne wejścia, duża powierzchnia reprezentacyjna, przestrzeń zewnętrzna na przerwy dla pracowników i relaks, tereny zewnętrzne (około 5000 metrów kwadratowych), łącznie ponad 6000 metrów kwadratowych.</w:t>
      </w:r>
    </w:p>
    <w:p w:rsidR="00AE36ED" w:rsidRPr="00AE36ED" w:rsidRDefault="00AE36ED" w:rsidP="00AE36ED">
      <w:pPr>
        <w:rPr>
          <w:rFonts w:asciiTheme="minorHAnsi" w:hAnsiTheme="minorHAnsi"/>
        </w:rPr>
      </w:pPr>
    </w:p>
    <w:p w:rsidR="008021AF" w:rsidRPr="00AE36ED" w:rsidRDefault="008021AF">
      <w:pPr>
        <w:rPr>
          <w:rFonts w:asciiTheme="minorHAnsi" w:hAnsiTheme="minorHAnsi"/>
        </w:rPr>
      </w:pPr>
    </w:p>
    <w:sectPr w:rsidR="008021AF" w:rsidRPr="00AE36ED" w:rsidSect="00B42CF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9" w:rsidRDefault="00AE36ED">
    <w:r>
      <w:rPr>
        <w:rFonts w:ascii="Calibri" w:hAnsi="Calibri"/>
        <w:b/>
        <w:bCs/>
        <w:noProof/>
        <w:sz w:val="18"/>
        <w:szCs w:val="1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170815</wp:posOffset>
              </wp:positionV>
              <wp:extent cx="0" cy="704850"/>
              <wp:effectExtent l="13335" t="8890" r="1524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48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39.55pt;margin-top:13.45pt;width:0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" strokecolor="#fc0" strokeweight="1pt"/>
          </w:pict>
        </mc:Fallback>
      </mc:AlternateContent>
    </w:r>
  </w:p>
  <w:tbl>
    <w:tblPr>
      <w:tblW w:w="10173" w:type="dxa"/>
      <w:tblLook w:val="04A0" w:firstRow="1" w:lastRow="0" w:firstColumn="1" w:lastColumn="0" w:noHBand="0" w:noVBand="1"/>
    </w:tblPr>
    <w:tblGrid>
      <w:gridCol w:w="4753"/>
      <w:gridCol w:w="284"/>
      <w:gridCol w:w="5136"/>
    </w:tblGrid>
    <w:tr w:rsidR="00EC68A9" w:rsidTr="00E3731C">
      <w:tc>
        <w:tcPr>
          <w:tcW w:w="4753" w:type="dxa"/>
          <w:shd w:val="clear" w:color="auto" w:fill="auto"/>
        </w:tcPr>
        <w:p w:rsidR="00EC68A9" w:rsidRPr="00E3731C" w:rsidRDefault="00E96551" w:rsidP="003A76E5">
          <w:pPr>
            <w:pStyle w:val="Stopka"/>
            <w:rPr>
              <w:rFonts w:ascii="Calibri" w:eastAsia="Times New Roman" w:hAnsi="Calibri" w:cs="Times New Roman"/>
              <w:b/>
              <w:bCs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b/>
              <w:bCs/>
              <w:sz w:val="18"/>
              <w:szCs w:val="18"/>
            </w:rPr>
            <w:t>Dolnośląska Agencja Współpracy Gospodarczej sp. z o.o.</w:t>
          </w:r>
        </w:p>
        <w:p w:rsidR="00EC68A9" w:rsidRPr="00E3731C" w:rsidRDefault="00E96551" w:rsidP="003A76E5">
          <w:pPr>
            <w:pStyle w:val="Stopka"/>
            <w:rPr>
              <w:rFonts w:ascii="Calibri" w:eastAsia="Times New Roman" w:hAnsi="Calibri" w:cs="Times New Roman"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>al. Kasztanowa 3a-5 , 53-125 Wrocław</w:t>
          </w:r>
        </w:p>
        <w:p w:rsidR="00EC68A9" w:rsidRPr="00E3731C" w:rsidRDefault="00E96551" w:rsidP="003A76E5">
          <w:pPr>
            <w:pStyle w:val="Stopka"/>
            <w:rPr>
              <w:rFonts w:ascii="Calibri" w:eastAsia="Times New Roman" w:hAnsi="Calibri" w:cs="Times New Roman"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>tel. +48 71 363 63 01</w:t>
          </w:r>
        </w:p>
        <w:p w:rsidR="00EC68A9" w:rsidRPr="00E3731C" w:rsidRDefault="00E96551" w:rsidP="003A76E5">
          <w:pPr>
            <w:pStyle w:val="Stopka"/>
            <w:rPr>
              <w:rFonts w:ascii="Calibri" w:eastAsia="Times New Roman" w:hAnsi="Calibri" w:cs="Times New Roman"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>e-mail:biuro@dawg.pl</w:t>
          </w:r>
        </w:p>
        <w:p w:rsidR="00EC68A9" w:rsidRPr="00E3731C" w:rsidRDefault="00E96551" w:rsidP="003A76E5">
          <w:pPr>
            <w:pStyle w:val="Stopka"/>
            <w:rPr>
              <w:rFonts w:ascii="Calibri" w:eastAsia="Times New Roman" w:hAnsi="Calibri" w:cs="Times New Roman"/>
              <w:b/>
              <w:bCs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>www.dawg.pl</w:t>
          </w:r>
          <w:r w:rsidRPr="00E3731C">
            <w:rPr>
              <w:rFonts w:ascii="Calibri" w:eastAsia="Times New Roman" w:hAnsi="Calibri" w:cs="Times New Roman"/>
              <w:sz w:val="18"/>
              <w:szCs w:val="18"/>
            </w:rPr>
            <w:tab/>
          </w:r>
          <w:r w:rsidRPr="00E3731C">
            <w:rPr>
              <w:rFonts w:ascii="Calibri" w:eastAsia="Times New Roman" w:hAnsi="Calibri" w:cs="Times New Roman"/>
              <w:sz w:val="18"/>
              <w:szCs w:val="18"/>
            </w:rPr>
            <w:tab/>
            <w:t xml:space="preserve">                                               </w:t>
          </w:r>
          <w:r w:rsidRPr="00E3731C">
            <w:rPr>
              <w:rFonts w:ascii="Calibri" w:eastAsia="Times New Roman" w:hAnsi="Calibri" w:cs="Times New Roman"/>
              <w:b/>
              <w:bCs/>
              <w:sz w:val="18"/>
              <w:szCs w:val="18"/>
            </w:rPr>
            <w:tab/>
            <w:t xml:space="preserve">           </w:t>
          </w:r>
        </w:p>
        <w:p w:rsidR="00EC68A9" w:rsidRPr="00E3731C" w:rsidRDefault="00E96551" w:rsidP="00E3731C">
          <w:pPr>
            <w:pStyle w:val="Stopka"/>
            <w:jc w:val="right"/>
            <w:rPr>
              <w:rFonts w:ascii="Calibri" w:eastAsia="Times New Roman" w:hAnsi="Calibri" w:cs="Times New Roman"/>
            </w:rPr>
          </w:pPr>
        </w:p>
      </w:tc>
      <w:tc>
        <w:tcPr>
          <w:tcW w:w="284" w:type="dxa"/>
          <w:shd w:val="clear" w:color="auto" w:fill="auto"/>
        </w:tcPr>
        <w:p w:rsidR="00EC68A9" w:rsidRPr="00E3731C" w:rsidRDefault="00E96551" w:rsidP="003A76E5">
          <w:pPr>
            <w:pStyle w:val="Stopka"/>
            <w:rPr>
              <w:rFonts w:ascii="Calibri" w:eastAsia="Times New Roman" w:hAnsi="Calibri" w:cs="Times New Roman"/>
            </w:rPr>
          </w:pPr>
        </w:p>
      </w:tc>
      <w:tc>
        <w:tcPr>
          <w:tcW w:w="5136" w:type="dxa"/>
          <w:shd w:val="clear" w:color="auto" w:fill="auto"/>
        </w:tcPr>
        <w:p w:rsidR="00EC68A9" w:rsidRPr="00E3731C" w:rsidRDefault="00E96551" w:rsidP="00E3731C">
          <w:pPr>
            <w:pStyle w:val="Footer"/>
            <w:tabs>
              <w:tab w:val="clear" w:pos="4819"/>
              <w:tab w:val="center" w:pos="4620"/>
            </w:tabs>
            <w:rPr>
              <w:rFonts w:ascii="Calibri" w:eastAsia="Times New Roman" w:hAnsi="Calibri" w:cs="Times New Roman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>Sąd Rejonowy dla Wrocławia-Fabrycznej we Wrocławiu</w:t>
          </w:r>
        </w:p>
        <w:p w:rsidR="00EC68A9" w:rsidRPr="00E3731C" w:rsidRDefault="00E96551" w:rsidP="00EC68A9">
          <w:pPr>
            <w:pStyle w:val="Footer"/>
            <w:rPr>
              <w:rFonts w:ascii="Calibri" w:eastAsia="Times New Roman" w:hAnsi="Calibri" w:cs="Times New Roman"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>VI Wydział Gospodarczy Krajowego Rejestru Sądowego</w:t>
          </w:r>
        </w:p>
        <w:p w:rsidR="00EC68A9" w:rsidRPr="00E3731C" w:rsidRDefault="00E96551" w:rsidP="00E3731C">
          <w:pPr>
            <w:pStyle w:val="Footer"/>
            <w:tabs>
              <w:tab w:val="clear" w:pos="4819"/>
              <w:tab w:val="clear" w:pos="9638"/>
            </w:tabs>
            <w:rPr>
              <w:rFonts w:ascii="Calibri" w:eastAsia="Times New Roman" w:hAnsi="Calibri" w:cs="Times New Roman"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>KRS:0000213275 | NIP:899 251 47 80 | REGON:933013380</w:t>
          </w:r>
        </w:p>
        <w:p w:rsidR="00EC68A9" w:rsidRPr="00E3731C" w:rsidRDefault="00E96551" w:rsidP="00E3731C">
          <w:pPr>
            <w:pStyle w:val="Footer"/>
            <w:tabs>
              <w:tab w:val="clear" w:pos="4819"/>
              <w:tab w:val="clear" w:pos="9638"/>
              <w:tab w:val="center" w:pos="285"/>
            </w:tabs>
            <w:rPr>
              <w:rFonts w:ascii="Calibri" w:eastAsia="Times New Roman" w:hAnsi="Calibri" w:cs="Times New Roman"/>
              <w:sz w:val="18"/>
              <w:szCs w:val="18"/>
            </w:rPr>
          </w:pPr>
          <w:r w:rsidRPr="00E3731C">
            <w:rPr>
              <w:rFonts w:ascii="Calibri" w:eastAsia="Times New Roman" w:hAnsi="Calibri" w:cs="Times New Roman"/>
              <w:sz w:val="18"/>
              <w:szCs w:val="18"/>
            </w:rPr>
            <w:t xml:space="preserve">wysokość kapitału zakładowego: </w:t>
          </w:r>
          <w:r w:rsidRPr="00466D16">
            <w:rPr>
              <w:rFonts w:ascii="Calibri" w:hAnsi="Calibri" w:cs="Arial"/>
              <w:color w:val="000000"/>
              <w:sz w:val="18"/>
              <w:szCs w:val="18"/>
              <w:shd w:val="clear" w:color="auto" w:fill="FFFFFF"/>
            </w:rPr>
            <w:t xml:space="preserve">42 446 500,00 </w:t>
          </w:r>
          <w:r w:rsidRPr="00466D16">
            <w:rPr>
              <w:rFonts w:ascii="Calibri" w:eastAsia="Times New Roman" w:hAnsi="Calibri" w:cs="Times New Roman"/>
              <w:sz w:val="18"/>
              <w:szCs w:val="18"/>
            </w:rPr>
            <w:t>zł.</w:t>
          </w:r>
        </w:p>
        <w:p w:rsidR="00EC68A9" w:rsidRPr="00E3731C" w:rsidRDefault="00E96551" w:rsidP="00E3731C">
          <w:pPr>
            <w:pStyle w:val="Footer"/>
            <w:tabs>
              <w:tab w:val="clear" w:pos="4819"/>
              <w:tab w:val="clear" w:pos="9638"/>
            </w:tabs>
            <w:ind w:right="-15"/>
            <w:rPr>
              <w:rFonts w:ascii="Calibri" w:eastAsia="Times New Roman" w:hAnsi="Calibri" w:cs="Times New Roman"/>
            </w:rPr>
          </w:pPr>
          <w:r w:rsidRPr="00E3731C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</w:rPr>
            <w:t>Nr konta bankowego BZWBK 32 1090 2398 0000 0001 0256</w:t>
          </w:r>
          <w:r w:rsidRPr="00E3731C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</w:rPr>
            <w:t xml:space="preserve"> 0695</w:t>
          </w:r>
        </w:p>
      </w:tc>
    </w:tr>
  </w:tbl>
  <w:p w:rsidR="00FA7856" w:rsidRPr="003A76E5" w:rsidRDefault="00E96551" w:rsidP="003A76E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56" w:rsidRDefault="00AE36ED">
    <w:pPr>
      <w:pStyle w:val="Header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572135</wp:posOffset>
          </wp:positionV>
          <wp:extent cx="3382010" cy="497840"/>
          <wp:effectExtent l="0" t="0" r="8890" b="0"/>
          <wp:wrapSquare wrapText="bothSides"/>
          <wp:docPr id="2" name="Obraz 2" descr="DS_DA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DA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856" w:rsidRDefault="00E96551">
    <w:pPr>
      <w:pStyle w:val="Header"/>
    </w:pPr>
  </w:p>
  <w:p w:rsidR="00FA7856" w:rsidRDefault="00E96551">
    <w:pPr>
      <w:pStyle w:val="Header"/>
    </w:pPr>
  </w:p>
  <w:p w:rsidR="00FA7856" w:rsidRDefault="00E96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1B9"/>
    <w:multiLevelType w:val="multilevel"/>
    <w:tmpl w:val="B9D6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6CC2"/>
    <w:multiLevelType w:val="hybridMultilevel"/>
    <w:tmpl w:val="7876CE22"/>
    <w:lvl w:ilvl="0" w:tplc="34D66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ED"/>
    <w:rsid w:val="008021AF"/>
    <w:rsid w:val="00857A5B"/>
    <w:rsid w:val="008B6932"/>
    <w:rsid w:val="00AE36ED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3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rsid w:val="00AE36E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AE36E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AE36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E36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E36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36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E36E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3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3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rsid w:val="00AE36E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AE36E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AE36E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E36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E36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E36E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E36E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3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it.elite-growth.com/it/companies/go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mu.it/en/associ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Rawecka</dc:creator>
  <cp:lastModifiedBy>Dominika Rawecka</cp:lastModifiedBy>
  <cp:revision>1</cp:revision>
  <dcterms:created xsi:type="dcterms:W3CDTF">2019-03-29T13:05:00Z</dcterms:created>
  <dcterms:modified xsi:type="dcterms:W3CDTF">2019-03-29T13:14:00Z</dcterms:modified>
</cp:coreProperties>
</file>